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AB4B66">
        <w:tc>
          <w:tcPr>
            <w:tcW w:w="4785" w:type="dxa"/>
          </w:tcPr>
          <w:p w:rsidR="001F0CCC" w:rsidRPr="008008C8" w:rsidRDefault="001F0CCC" w:rsidP="008008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008C8">
              <w:rPr>
                <w:rFonts w:ascii="한컴바탕" w:eastAsia="한컴바탕" w:hAnsi="한컴바탕" w:cs="한컴바탕" w:hint="eastAsia"/>
                <w:b/>
                <w:sz w:val="26"/>
                <w:szCs w:val="26"/>
                <w:lang w:eastAsia="ko-KR"/>
              </w:rPr>
              <w:t>국가세무총국</w:t>
            </w:r>
          </w:p>
          <w:p w:rsidR="001F0CCC" w:rsidRPr="008008C8" w:rsidRDefault="001F0CCC" w:rsidP="008008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008C8">
              <w:rPr>
                <w:rFonts w:ascii="한컴바탕" w:eastAsia="한컴바탕" w:hAnsi="한컴바탕" w:cs="한컴바탕" w:hint="eastAsia"/>
                <w:b/>
                <w:sz w:val="26"/>
                <w:szCs w:val="26"/>
                <w:lang w:eastAsia="ko-KR"/>
              </w:rPr>
              <w:t>환급세액에서 체납세액 상계하는 관련</w:t>
            </w:r>
            <w:r w:rsidR="008008C8">
              <w:rPr>
                <w:rFonts w:ascii="한컴바탕" w:eastAsia="한컴바탕" w:hAnsi="한컴바탕" w:cs="한컴바탕" w:hint="eastAsia"/>
                <w:b/>
                <w:sz w:val="26"/>
                <w:szCs w:val="26"/>
                <w:lang w:eastAsia="ko-KR"/>
              </w:rPr>
              <w:t xml:space="preserve"> </w:t>
            </w:r>
            <w:r w:rsidRPr="008008C8">
              <w:rPr>
                <w:rFonts w:ascii="한컴바탕" w:eastAsia="한컴바탕" w:hAnsi="한컴바탕" w:cs="한컴바탕" w:hint="eastAsia"/>
                <w:b/>
                <w:sz w:val="26"/>
                <w:szCs w:val="26"/>
                <w:lang w:eastAsia="ko-KR"/>
              </w:rPr>
              <w:t>문제에 관한 공고</w:t>
            </w:r>
          </w:p>
          <w:p w:rsidR="008008C8" w:rsidRDefault="008008C8" w:rsidP="008008C8">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p>
          <w:p w:rsidR="001F0CCC" w:rsidRPr="008008C8" w:rsidRDefault="001F0CCC" w:rsidP="008008C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008C8">
              <w:rPr>
                <w:rFonts w:ascii="한컴바탕" w:eastAsia="한컴바탕" w:hAnsi="한컴바탕" w:cs="한컴바탕" w:hint="eastAsia"/>
                <w:szCs w:val="21"/>
                <w:lang w:eastAsia="ko-KR"/>
              </w:rPr>
              <w:t>국가세무총국공고</w:t>
            </w:r>
            <w:r w:rsidRPr="008008C8">
              <w:rPr>
                <w:rFonts w:ascii="한컴바탕" w:eastAsia="한컴바탕" w:hAnsi="한컴바탕" w:cs="한컴바탕"/>
                <w:szCs w:val="21"/>
                <w:lang w:eastAsia="ko-KR"/>
              </w:rPr>
              <w:t xml:space="preserve"> 2013년</w:t>
            </w:r>
            <w:r w:rsidRPr="008008C8">
              <w:rPr>
                <w:rFonts w:ascii="한컴바탕" w:eastAsia="한컴바탕" w:hAnsi="한컴바탕" w:cs="한컴바탕" w:hint="eastAsia"/>
                <w:szCs w:val="21"/>
                <w:lang w:eastAsia="ko-KR"/>
              </w:rPr>
              <w:t xml:space="preserve"> 제54호</w:t>
            </w:r>
          </w:p>
          <w:p w:rsidR="001F0CCC" w:rsidRPr="008008C8" w:rsidRDefault="001F0CCC" w:rsidP="008008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F0CCC" w:rsidRPr="008008C8" w:rsidRDefault="001F0CCC" w:rsidP="008008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F0CCC" w:rsidRPr="00955776" w:rsidRDefault="001F0CCC" w:rsidP="0095577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955776">
              <w:rPr>
                <w:rFonts w:ascii="한컴바탕" w:eastAsia="한컴바탕" w:hAnsi="한컴바탕" w:cs="한컴바탕" w:hint="eastAsia"/>
                <w:spacing w:val="-6"/>
                <w:szCs w:val="21"/>
                <w:lang w:eastAsia="ko-KR"/>
              </w:rPr>
              <w:t>최근</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지역의</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보고에</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의하면</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《중화인민공화국 세수징수관리법</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실시세칙》</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제</w:t>
            </w:r>
            <w:r w:rsidRPr="00955776">
              <w:rPr>
                <w:rFonts w:ascii="한컴바탕" w:eastAsia="한컴바탕" w:hAnsi="한컴바탕" w:cs="한컴바탕"/>
                <w:spacing w:val="-6"/>
                <w:szCs w:val="21"/>
                <w:lang w:eastAsia="ko-KR"/>
              </w:rPr>
              <w:t>79</w:t>
            </w:r>
            <w:r w:rsidRPr="00955776">
              <w:rPr>
                <w:rFonts w:ascii="한컴바탕" w:eastAsia="한컴바탕" w:hAnsi="한컴바탕" w:cs="한컴바탕" w:hint="eastAsia"/>
                <w:spacing w:val="-6"/>
                <w:szCs w:val="21"/>
                <w:lang w:eastAsia="ko-KR"/>
              </w:rPr>
              <w:t>조</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환급세액에서</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체납세액을</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상계</w:t>
            </w:r>
            <w:r w:rsidRPr="00955776">
              <w:rPr>
                <w:rFonts w:ascii="한컴바탕" w:eastAsia="한컴바탕" w:hAnsi="한컴바탕" w:cs="한컴바탕"/>
                <w:spacing w:val="-6"/>
                <w:szCs w:val="21"/>
                <w:lang w:eastAsia="ko-KR"/>
              </w:rPr>
              <w:t>(</w:t>
            </w:r>
            <w:r w:rsidRPr="00955776">
              <w:rPr>
                <w:rFonts w:ascii="한컴바탕" w:eastAsia="한컴바탕" w:hAnsi="한컴바탕" w:cs="한컴바탕" w:hint="eastAsia"/>
                <w:spacing w:val="-6"/>
                <w:szCs w:val="21"/>
                <w:lang w:eastAsia="ko-KR"/>
              </w:rPr>
              <w:t>이하</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환급으로</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체납</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대체</w:t>
            </w:r>
            <w:r w:rsidRPr="00955776">
              <w:rPr>
                <w:rFonts w:ascii="한컴바탕" w:eastAsia="한컴바탕" w:hAnsi="한컴바탕" w:cs="한컴바탕"/>
                <w:spacing w:val="-6"/>
                <w:szCs w:val="21"/>
                <w:lang w:eastAsia="ko-KR"/>
              </w:rPr>
              <w:t>(</w:t>
            </w:r>
            <w:r w:rsidRPr="00955776">
              <w:rPr>
                <w:rFonts w:ascii="한컴바탕" w:eastAsia="한컴바탕" w:hAnsi="한컴바탕" w:cs="한컴바탕" w:hint="eastAsia"/>
                <w:spacing w:val="-6"/>
                <w:szCs w:val="21"/>
                <w:lang w:eastAsia="ko-KR"/>
              </w:rPr>
              <w:t>以退抵欠</w:t>
            </w:r>
            <w:r w:rsidRPr="00955776">
              <w:rPr>
                <w:rFonts w:ascii="한컴바탕" w:eastAsia="한컴바탕" w:hAnsi="한컴바탕" w:cs="한컴바탕"/>
                <w:spacing w:val="-6"/>
                <w:szCs w:val="21"/>
                <w:lang w:eastAsia="ko-KR"/>
              </w:rPr>
              <w:t>)’)</w:t>
            </w:r>
            <w:r w:rsidRPr="00955776">
              <w:rPr>
                <w:rFonts w:ascii="한컴바탕" w:eastAsia="한컴바탕" w:hAnsi="한컴바탕" w:cs="한컴바탕" w:hint="eastAsia"/>
                <w:spacing w:val="-6"/>
                <w:szCs w:val="21"/>
                <w:lang w:eastAsia="ko-KR"/>
              </w:rPr>
              <w:t>하는 규정이 강제집행조치에</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속하는지</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여부에</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대한 해석이 상이하다</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강제집행조치</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및</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환급으로</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체납을</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대체하는</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규정을</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전면적으로</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정확하게</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관철하기</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위하여</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《세수징수관리법》</w:t>
            </w:r>
            <w:r w:rsidRPr="00955776">
              <w:rPr>
                <w:rFonts w:ascii="한컴바탕" w:eastAsia="한컴바탕" w:hAnsi="한컴바탕" w:cs="한컴바탕"/>
                <w:spacing w:val="-6"/>
                <w:szCs w:val="21"/>
                <w:lang w:eastAsia="ko-KR"/>
              </w:rPr>
              <w:t>(</w:t>
            </w:r>
            <w:r w:rsidRPr="00955776">
              <w:rPr>
                <w:rFonts w:ascii="한컴바탕" w:eastAsia="한컴바탕" w:hAnsi="한컴바탕" w:cs="한컴바탕" w:hint="eastAsia"/>
                <w:spacing w:val="-6"/>
                <w:szCs w:val="21"/>
                <w:lang w:eastAsia="ko-KR"/>
              </w:rPr>
              <w:t>이하</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세수징수관리법</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및</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그</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실시세칙의</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관련</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규정에</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근거하여</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현재</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환급세액으로</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체납세액을</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상계하는 유관 문제에</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관하여</w:t>
            </w:r>
            <w:r w:rsidRPr="00955776">
              <w:rPr>
                <w:rFonts w:ascii="한컴바탕" w:eastAsia="한컴바탕" w:hAnsi="한컴바탕" w:cs="한컴바탕"/>
                <w:spacing w:val="-6"/>
                <w:szCs w:val="21"/>
                <w:lang w:eastAsia="ko-KR"/>
              </w:rPr>
              <w:t xml:space="preserve"> </w:t>
            </w:r>
            <w:r w:rsidRPr="00955776">
              <w:rPr>
                <w:rFonts w:ascii="한컴바탕" w:eastAsia="한컴바탕" w:hAnsi="한컴바탕" w:cs="한컴바탕" w:hint="eastAsia"/>
                <w:spacing w:val="-6"/>
                <w:szCs w:val="21"/>
                <w:lang w:eastAsia="ko-KR"/>
              </w:rPr>
              <w:t>다음과 같이 공고한다.</w:t>
            </w:r>
          </w:p>
          <w:p w:rsidR="001F0CCC" w:rsidRPr="00955776" w:rsidRDefault="001F0CCC" w:rsidP="00955776">
            <w:pPr>
              <w:wordWrap w:val="0"/>
              <w:autoSpaceDN w:val="0"/>
              <w:adjustRightInd w:val="0"/>
              <w:snapToGrid w:val="0"/>
              <w:spacing w:line="290" w:lineRule="atLeast"/>
              <w:ind w:left="2" w:firstLine="404"/>
              <w:jc w:val="both"/>
              <w:rPr>
                <w:rFonts w:ascii="한컴바탕" w:eastAsia="한컴바탕" w:hAnsi="한컴바탕" w:cs="한컴바탕"/>
                <w:spacing w:val="-4"/>
                <w:szCs w:val="21"/>
                <w:lang w:eastAsia="ko-KR"/>
              </w:rPr>
            </w:pPr>
            <w:r w:rsidRPr="00955776">
              <w:rPr>
                <w:rFonts w:ascii="한컴바탕" w:eastAsia="한컴바탕" w:hAnsi="한컴바탕" w:cs="한컴바탕" w:hint="eastAsia"/>
                <w:spacing w:val="-4"/>
                <w:szCs w:val="21"/>
                <w:lang w:eastAsia="ko-KR"/>
              </w:rPr>
              <w:t>세수징수관리법 제40조 규정에서 세수강제집행조치란, 세무기관이 지정한 기한을 초과하고 여전히 납부하지 않은 경우, 세무기관이 그 계좌개설은행 또는 기타 금융기구에 서면통지를 취하여 그</w:t>
            </w:r>
            <w:r w:rsidRPr="00955776">
              <w:rPr>
                <w:rFonts w:ascii="한컴바탕" w:eastAsia="한컴바탕" w:hAnsi="한컴바탕" w:cs="한컴바탕"/>
                <w:spacing w:val="-4"/>
                <w:szCs w:val="21"/>
                <w:lang w:eastAsia="ko-KR"/>
              </w:rPr>
              <w:t xml:space="preserve"> 예금</w:t>
            </w:r>
            <w:r w:rsidRPr="00955776">
              <w:rPr>
                <w:rFonts w:ascii="한컴바탕" w:eastAsia="한컴바탕" w:hAnsi="한컴바탕" w:cs="한컴바탕" w:hint="eastAsia"/>
                <w:spacing w:val="-4"/>
                <w:szCs w:val="21"/>
                <w:lang w:eastAsia="ko-KR"/>
              </w:rPr>
              <w:t>액에서 세액을 공제하는 것을 가리키며, 압류, 봉인, 법에 따라 그 가치가 납부할세액에 상당한 상품, 화물 또는 기타 재산을 경매하거나 또는 환금하고, 경매 또는 환금매각소득으로 세액을 공제하는 행위를 가리킨다.</w:t>
            </w:r>
          </w:p>
          <w:p w:rsidR="001F0CCC" w:rsidRPr="00955776" w:rsidRDefault="001F0CCC" w:rsidP="0095577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955776">
              <w:rPr>
                <w:rFonts w:ascii="한컴바탕" w:eastAsia="한컴바탕" w:hAnsi="한컴바탕" w:cs="한컴바탕" w:hint="eastAsia"/>
                <w:spacing w:val="-4"/>
                <w:szCs w:val="21"/>
                <w:lang w:eastAsia="ko-KR"/>
              </w:rPr>
              <w:t xml:space="preserve">환급세액에서 체납세액 대체는 세무기관이 납세자의 납세의무를 계산하여 확정한 세무결산제도이며, 예금액에서 세액을 공제하거나 압류, 봉인, 경매, 변매 강제행위는 포함되지 않는다. </w:t>
            </w:r>
          </w:p>
          <w:p w:rsidR="001F0CCC" w:rsidRPr="00955776" w:rsidRDefault="001F0CCC" w:rsidP="00955776">
            <w:pPr>
              <w:wordWrap w:val="0"/>
              <w:autoSpaceDN w:val="0"/>
              <w:adjustRightInd w:val="0"/>
              <w:snapToGrid w:val="0"/>
              <w:spacing w:line="290" w:lineRule="atLeast"/>
              <w:ind w:firstLine="352"/>
              <w:jc w:val="both"/>
              <w:rPr>
                <w:rFonts w:ascii="한컴바탕" w:eastAsia="한컴바탕" w:hAnsi="한컴바탕" w:cs="한컴바탕"/>
                <w:spacing w:val="-17"/>
                <w:szCs w:val="21"/>
                <w:lang w:eastAsia="ko-KR"/>
              </w:rPr>
            </w:pPr>
            <w:r w:rsidRPr="00955776">
              <w:rPr>
                <w:rFonts w:ascii="한컴바탕" w:eastAsia="한컴바탕" w:hAnsi="한컴바탕" w:cs="한컴바탕" w:hint="eastAsia"/>
                <w:spacing w:val="-17"/>
                <w:szCs w:val="21"/>
                <w:lang w:eastAsia="ko-KR"/>
              </w:rPr>
              <w:t>환급세액에서 체납세액 대체 확정 후 잔액이 있는 경우 납세인에게 환급해야 하며, 부족한 부분은 납세인이 계속 납부하도록 시정 명령해야 한다. 환급으로 체납 대체 후 납세인에게 여전히 체납세액이 존재하며, 납부명령을 내렸음에도 여전히 납부하지 않은 경우, 세무기관은 행정강제집행을 위하여 강제집행조치를 취해야 한다. 환급으로 체납 대체는 행정강제집행에 속하지 아니 한다.</w:t>
            </w:r>
          </w:p>
          <w:p w:rsidR="001F0CCC" w:rsidRPr="008008C8" w:rsidRDefault="001F0CCC" w:rsidP="008008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008C8">
              <w:rPr>
                <w:rFonts w:ascii="한컴바탕" w:eastAsia="한컴바탕" w:hAnsi="한컴바탕" w:cs="한컴바탕" w:hint="eastAsia"/>
                <w:szCs w:val="21"/>
                <w:lang w:eastAsia="ko-KR"/>
              </w:rPr>
              <w:t>특별히 이를 공고한다.</w:t>
            </w:r>
          </w:p>
          <w:p w:rsidR="001F0CCC" w:rsidRPr="008008C8" w:rsidRDefault="001F0CCC" w:rsidP="008008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F0CCC" w:rsidRPr="008008C8" w:rsidRDefault="001F0CCC" w:rsidP="0095577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008C8">
              <w:rPr>
                <w:rFonts w:ascii="한컴바탕" w:eastAsia="한컴바탕" w:hAnsi="한컴바탕" w:cs="한컴바탕" w:hint="eastAsia"/>
                <w:szCs w:val="21"/>
                <w:lang w:eastAsia="ko-KR"/>
              </w:rPr>
              <w:t xml:space="preserve">　　　　　　　　　　　　　                                     국가세무총국</w:t>
            </w:r>
          </w:p>
          <w:p w:rsidR="001F0CCC" w:rsidRPr="008008C8" w:rsidRDefault="001F0CCC" w:rsidP="0095577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008C8">
              <w:rPr>
                <w:rFonts w:ascii="한컴바탕" w:eastAsia="한컴바탕" w:hAnsi="한컴바탕" w:cs="한컴바탕" w:hint="eastAsia"/>
                <w:szCs w:val="21"/>
                <w:lang w:eastAsia="ko-KR"/>
              </w:rPr>
              <w:t>2013년 9월 16일</w:t>
            </w:r>
          </w:p>
          <w:p w:rsidR="004D6A05" w:rsidRPr="008008C8" w:rsidRDefault="004D6A05" w:rsidP="008008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8008C8" w:rsidRDefault="004D6A05" w:rsidP="008008C8">
            <w:pPr>
              <w:wordWrap w:val="0"/>
              <w:autoSpaceDN w:val="0"/>
              <w:adjustRightInd w:val="0"/>
              <w:snapToGrid w:val="0"/>
              <w:spacing w:after="100" w:line="290" w:lineRule="atLeast"/>
              <w:ind w:firstLine="420"/>
              <w:jc w:val="both"/>
              <w:rPr>
                <w:szCs w:val="21"/>
                <w:lang w:eastAsia="ko-KR"/>
              </w:rPr>
            </w:pPr>
          </w:p>
        </w:tc>
        <w:tc>
          <w:tcPr>
            <w:tcW w:w="3958" w:type="dxa"/>
          </w:tcPr>
          <w:p w:rsidR="001F0CCC" w:rsidRPr="008008C8" w:rsidRDefault="001F0CCC" w:rsidP="008008C8">
            <w:pPr>
              <w:wordWrap w:val="0"/>
              <w:autoSpaceDN w:val="0"/>
              <w:adjustRightInd w:val="0"/>
              <w:snapToGrid w:val="0"/>
              <w:spacing w:line="290" w:lineRule="atLeast"/>
              <w:ind w:firstLine="522"/>
              <w:jc w:val="center"/>
              <w:rPr>
                <w:rFonts w:ascii="SimSun" w:eastAsia="SimSun" w:hAnsi="SimSun"/>
                <w:b/>
                <w:sz w:val="26"/>
                <w:szCs w:val="26"/>
              </w:rPr>
            </w:pPr>
            <w:r w:rsidRPr="008008C8">
              <w:rPr>
                <w:rFonts w:ascii="SimSun" w:eastAsia="SimSun" w:hAnsi="SimSun" w:hint="eastAsia"/>
                <w:b/>
                <w:sz w:val="26"/>
                <w:szCs w:val="26"/>
              </w:rPr>
              <w:t>国家税务总局</w:t>
            </w:r>
          </w:p>
          <w:p w:rsidR="001F0CCC" w:rsidRPr="008008C8" w:rsidRDefault="001F0CCC" w:rsidP="008008C8">
            <w:pPr>
              <w:wordWrap w:val="0"/>
              <w:autoSpaceDN w:val="0"/>
              <w:adjustRightInd w:val="0"/>
              <w:snapToGrid w:val="0"/>
              <w:spacing w:line="290" w:lineRule="atLeast"/>
              <w:ind w:firstLine="522"/>
              <w:jc w:val="center"/>
              <w:rPr>
                <w:rFonts w:ascii="SimSun" w:eastAsia="SimSun" w:hAnsi="SimSun"/>
                <w:b/>
                <w:sz w:val="26"/>
                <w:szCs w:val="26"/>
              </w:rPr>
            </w:pPr>
            <w:r w:rsidRPr="008008C8">
              <w:rPr>
                <w:rFonts w:ascii="SimSun" w:eastAsia="SimSun" w:hAnsi="SimSun" w:hint="eastAsia"/>
                <w:b/>
                <w:sz w:val="26"/>
                <w:szCs w:val="26"/>
              </w:rPr>
              <w:t>关于应退税款抵扣欠缴税款有关问题的公告</w:t>
            </w:r>
          </w:p>
          <w:p w:rsidR="008008C8" w:rsidRDefault="008008C8" w:rsidP="008008C8">
            <w:pPr>
              <w:wordWrap w:val="0"/>
              <w:autoSpaceDN w:val="0"/>
              <w:adjustRightInd w:val="0"/>
              <w:snapToGrid w:val="0"/>
              <w:spacing w:line="290" w:lineRule="atLeast"/>
              <w:ind w:firstLine="420"/>
              <w:jc w:val="center"/>
              <w:rPr>
                <w:rFonts w:ascii="SimSun" w:hAnsi="SimSun" w:hint="eastAsia"/>
                <w:szCs w:val="21"/>
                <w:lang w:eastAsia="ko-KR"/>
              </w:rPr>
            </w:pPr>
          </w:p>
          <w:p w:rsidR="001F0CCC" w:rsidRPr="008008C8" w:rsidRDefault="001F0CCC" w:rsidP="008008C8">
            <w:pPr>
              <w:wordWrap w:val="0"/>
              <w:autoSpaceDN w:val="0"/>
              <w:adjustRightInd w:val="0"/>
              <w:snapToGrid w:val="0"/>
              <w:spacing w:line="290" w:lineRule="atLeast"/>
              <w:ind w:firstLine="420"/>
              <w:jc w:val="center"/>
              <w:rPr>
                <w:rFonts w:ascii="SimSun" w:eastAsia="SimSun" w:hAnsi="SimSun"/>
                <w:szCs w:val="21"/>
              </w:rPr>
            </w:pPr>
            <w:r w:rsidRPr="008008C8">
              <w:rPr>
                <w:rFonts w:ascii="SimSun" w:eastAsia="SimSun" w:hAnsi="SimSun" w:hint="eastAsia"/>
                <w:szCs w:val="21"/>
              </w:rPr>
              <w:t>国家税务总局公告2013年第54号</w:t>
            </w:r>
          </w:p>
          <w:p w:rsidR="001F0CCC" w:rsidRPr="008008C8" w:rsidRDefault="001F0CCC" w:rsidP="008008C8">
            <w:pPr>
              <w:wordWrap w:val="0"/>
              <w:autoSpaceDN w:val="0"/>
              <w:adjustRightInd w:val="0"/>
              <w:snapToGrid w:val="0"/>
              <w:spacing w:line="290" w:lineRule="atLeast"/>
              <w:ind w:firstLine="420"/>
              <w:jc w:val="both"/>
              <w:rPr>
                <w:rFonts w:ascii="SimSun" w:eastAsia="SimSun" w:hAnsi="SimSun"/>
                <w:szCs w:val="21"/>
              </w:rPr>
            </w:pPr>
          </w:p>
          <w:p w:rsidR="001F0CCC" w:rsidRPr="008008C8" w:rsidRDefault="001F0CCC" w:rsidP="008008C8">
            <w:pPr>
              <w:wordWrap w:val="0"/>
              <w:autoSpaceDN w:val="0"/>
              <w:adjustRightInd w:val="0"/>
              <w:snapToGrid w:val="0"/>
              <w:spacing w:line="290" w:lineRule="atLeast"/>
              <w:ind w:firstLine="420"/>
              <w:jc w:val="both"/>
              <w:rPr>
                <w:rFonts w:ascii="SimSun" w:eastAsia="SimSun" w:hAnsi="SimSun"/>
                <w:szCs w:val="21"/>
              </w:rPr>
            </w:pPr>
          </w:p>
          <w:p w:rsidR="001F0CCC" w:rsidRPr="008008C8" w:rsidRDefault="001F0CCC" w:rsidP="008008C8">
            <w:pPr>
              <w:wordWrap w:val="0"/>
              <w:autoSpaceDN w:val="0"/>
              <w:adjustRightInd w:val="0"/>
              <w:snapToGrid w:val="0"/>
              <w:spacing w:line="290" w:lineRule="atLeast"/>
              <w:ind w:firstLine="420"/>
              <w:jc w:val="both"/>
              <w:rPr>
                <w:rFonts w:ascii="SimSun" w:eastAsia="SimSun" w:hAnsi="SimSun"/>
                <w:szCs w:val="21"/>
              </w:rPr>
            </w:pPr>
            <w:r w:rsidRPr="008008C8">
              <w:rPr>
                <w:rFonts w:ascii="SimSun" w:eastAsia="SimSun" w:hAnsi="SimSun" w:hint="eastAsia"/>
                <w:szCs w:val="21"/>
              </w:rPr>
              <w:t>近期地方反映，对于《中华人民共和国税收征收管理法实施细则》第79条关于应退税款抵扣欠缴税款（以下简称以退抵欠）的规定是否属于强制执行措施有不同理解。为了全面准确贯彻强制执行措施和以退抵欠的规定，根据《中华人民共和国税收征收管理法》（以下简称税收征管法）及其实施细则的有关规定，现将应退税款抵扣欠缴税款有关问题公告如下：</w:t>
            </w:r>
          </w:p>
          <w:p w:rsidR="001F0CCC" w:rsidRPr="00955776" w:rsidRDefault="001F0CCC" w:rsidP="00955776">
            <w:pPr>
              <w:wordWrap w:val="0"/>
              <w:autoSpaceDN w:val="0"/>
              <w:adjustRightInd w:val="0"/>
              <w:snapToGrid w:val="0"/>
              <w:spacing w:line="290" w:lineRule="atLeast"/>
              <w:ind w:firstLine="444"/>
              <w:jc w:val="both"/>
              <w:rPr>
                <w:rFonts w:ascii="SimSun" w:eastAsia="SimSun" w:hAnsi="SimSun"/>
                <w:spacing w:val="6"/>
                <w:szCs w:val="21"/>
              </w:rPr>
            </w:pPr>
            <w:r w:rsidRPr="00955776">
              <w:rPr>
                <w:rFonts w:ascii="SimSun" w:eastAsia="SimSun" w:hAnsi="SimSun" w:hint="eastAsia"/>
                <w:spacing w:val="6"/>
                <w:szCs w:val="21"/>
              </w:rPr>
              <w:t>税收征管法第40条规定，税收强制执行措施是指对经税务机关责令限期缴纳税款逾期仍不缴纳的情形，税务机关采取书面通知其开户银行或者其他金融机构从其存款中扣缴税款；扣押、查封、依法拍卖或者变卖其价值相当于应纳税款的商品、货物或者其他财产，以拍卖或者变卖所得抵缴税款的行为。</w:t>
            </w:r>
          </w:p>
          <w:p w:rsidR="00955776" w:rsidRDefault="001F0CCC" w:rsidP="008008C8">
            <w:pPr>
              <w:wordWrap w:val="0"/>
              <w:autoSpaceDN w:val="0"/>
              <w:adjustRightInd w:val="0"/>
              <w:snapToGrid w:val="0"/>
              <w:spacing w:line="290" w:lineRule="atLeast"/>
              <w:ind w:firstLine="420"/>
              <w:jc w:val="both"/>
              <w:rPr>
                <w:rFonts w:ascii="SimSun" w:hAnsi="SimSun" w:hint="eastAsia"/>
                <w:szCs w:val="21"/>
                <w:lang w:eastAsia="ko-KR"/>
              </w:rPr>
            </w:pPr>
            <w:r w:rsidRPr="008008C8">
              <w:rPr>
                <w:rFonts w:ascii="SimSun" w:eastAsia="SimSun" w:hAnsi="SimSun" w:hint="eastAsia"/>
                <w:szCs w:val="21"/>
              </w:rPr>
              <w:t>以退抵欠是税务机关计算确定纳税人应纳税义务的一项税款结算制度，不涉及从存款中扣缴税款和扣押、查封、拍卖、变卖强制行为。</w:t>
            </w:r>
          </w:p>
          <w:p w:rsidR="001F0CCC" w:rsidRPr="00955776" w:rsidRDefault="001F0CCC" w:rsidP="00955776">
            <w:pPr>
              <w:wordWrap w:val="0"/>
              <w:autoSpaceDN w:val="0"/>
              <w:adjustRightInd w:val="0"/>
              <w:snapToGrid w:val="0"/>
              <w:spacing w:line="290" w:lineRule="atLeast"/>
              <w:ind w:firstLine="468"/>
              <w:jc w:val="both"/>
              <w:rPr>
                <w:rFonts w:ascii="SimSun" w:eastAsia="SimSun" w:hAnsi="SimSun"/>
                <w:spacing w:val="12"/>
                <w:szCs w:val="21"/>
              </w:rPr>
            </w:pPr>
            <w:r w:rsidRPr="00955776">
              <w:rPr>
                <w:rFonts w:ascii="SimSun" w:eastAsia="SimSun" w:hAnsi="SimSun" w:hint="eastAsia"/>
                <w:spacing w:val="12"/>
                <w:szCs w:val="21"/>
              </w:rPr>
              <w:t>以退抵欠确定后有余额的退还纳税人；不足部分，责令纳税人继续缴纳。以退抵欠之后纳税人仍有欠税，经责令缴纳仍不缴纳的，税务机关采取强制执行措施，为行政强制执行。以退抵欠不属于行政强制执行。</w:t>
            </w:r>
          </w:p>
          <w:p w:rsidR="001F0CCC" w:rsidRPr="008008C8" w:rsidRDefault="001F0CCC" w:rsidP="008008C8">
            <w:pPr>
              <w:wordWrap w:val="0"/>
              <w:autoSpaceDN w:val="0"/>
              <w:adjustRightInd w:val="0"/>
              <w:snapToGrid w:val="0"/>
              <w:spacing w:line="290" w:lineRule="atLeast"/>
              <w:ind w:firstLine="420"/>
              <w:jc w:val="both"/>
              <w:rPr>
                <w:rFonts w:ascii="SimSun" w:eastAsia="SimSun" w:hAnsi="SimSun"/>
                <w:szCs w:val="21"/>
              </w:rPr>
            </w:pPr>
            <w:r w:rsidRPr="008008C8">
              <w:rPr>
                <w:rFonts w:ascii="SimSun" w:eastAsia="SimSun" w:hAnsi="SimSun" w:hint="eastAsia"/>
                <w:szCs w:val="21"/>
              </w:rPr>
              <w:t>特此公告。</w:t>
            </w:r>
          </w:p>
          <w:p w:rsidR="001F0CCC" w:rsidRDefault="001F0CCC" w:rsidP="008008C8">
            <w:pPr>
              <w:wordWrap w:val="0"/>
              <w:autoSpaceDN w:val="0"/>
              <w:adjustRightInd w:val="0"/>
              <w:snapToGrid w:val="0"/>
              <w:spacing w:line="290" w:lineRule="atLeast"/>
              <w:ind w:firstLine="420"/>
              <w:jc w:val="both"/>
              <w:rPr>
                <w:rFonts w:ascii="SimSun" w:hAnsi="SimSun" w:hint="eastAsia"/>
                <w:szCs w:val="21"/>
                <w:lang w:eastAsia="ko-KR"/>
              </w:rPr>
            </w:pPr>
          </w:p>
          <w:p w:rsidR="00955776" w:rsidRPr="00955776" w:rsidRDefault="00955776" w:rsidP="008008C8">
            <w:pPr>
              <w:wordWrap w:val="0"/>
              <w:autoSpaceDN w:val="0"/>
              <w:adjustRightInd w:val="0"/>
              <w:snapToGrid w:val="0"/>
              <w:spacing w:line="290" w:lineRule="atLeast"/>
              <w:ind w:firstLine="420"/>
              <w:jc w:val="both"/>
              <w:rPr>
                <w:rFonts w:ascii="SimSun" w:hAnsi="SimSun" w:hint="eastAsia"/>
                <w:szCs w:val="21"/>
                <w:lang w:eastAsia="ko-KR"/>
              </w:rPr>
            </w:pPr>
          </w:p>
          <w:p w:rsidR="001F0CCC" w:rsidRPr="008008C8" w:rsidRDefault="001F0CCC" w:rsidP="00955776">
            <w:pPr>
              <w:wordWrap w:val="0"/>
              <w:autoSpaceDN w:val="0"/>
              <w:adjustRightInd w:val="0"/>
              <w:snapToGrid w:val="0"/>
              <w:spacing w:line="290" w:lineRule="atLeast"/>
              <w:ind w:firstLine="420"/>
              <w:jc w:val="right"/>
              <w:rPr>
                <w:rFonts w:ascii="SimSun" w:eastAsia="SimSun" w:hAnsi="SimSun"/>
                <w:szCs w:val="21"/>
              </w:rPr>
            </w:pPr>
            <w:r w:rsidRPr="008008C8">
              <w:rPr>
                <w:rFonts w:ascii="SimSun" w:eastAsia="SimSun" w:hAnsi="SimSun" w:hint="eastAsia"/>
                <w:szCs w:val="21"/>
              </w:rPr>
              <w:t xml:space="preserve">　　国家税务总局</w:t>
            </w:r>
          </w:p>
          <w:p w:rsidR="001F0CCC" w:rsidRPr="008008C8" w:rsidRDefault="001F0CCC" w:rsidP="00955776">
            <w:pPr>
              <w:wordWrap w:val="0"/>
              <w:autoSpaceDN w:val="0"/>
              <w:adjustRightInd w:val="0"/>
              <w:snapToGrid w:val="0"/>
              <w:spacing w:line="290" w:lineRule="atLeast"/>
              <w:ind w:firstLine="420"/>
              <w:jc w:val="right"/>
              <w:rPr>
                <w:rFonts w:ascii="SimSun" w:eastAsia="SimSun" w:hAnsi="SimSun"/>
                <w:szCs w:val="21"/>
              </w:rPr>
            </w:pPr>
            <w:r w:rsidRPr="008008C8">
              <w:rPr>
                <w:rFonts w:ascii="SimSun" w:eastAsia="SimSun" w:hAnsi="SimSun" w:hint="eastAsia"/>
                <w:szCs w:val="21"/>
              </w:rPr>
              <w:t xml:space="preserve">　　2013年9月16日</w:t>
            </w:r>
          </w:p>
          <w:p w:rsidR="004D6A05" w:rsidRPr="008008C8" w:rsidRDefault="004D6A05" w:rsidP="008008C8">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98" w:rsidRDefault="00831698" w:rsidP="00E52896">
      <w:pPr>
        <w:spacing w:line="240" w:lineRule="auto"/>
        <w:ind w:firstLine="420"/>
      </w:pPr>
      <w:r>
        <w:separator/>
      </w:r>
    </w:p>
  </w:endnote>
  <w:endnote w:type="continuationSeparator" w:id="1">
    <w:p w:rsidR="00831698" w:rsidRDefault="00831698"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98" w:rsidRDefault="00831698" w:rsidP="00E52896">
      <w:pPr>
        <w:spacing w:line="240" w:lineRule="auto"/>
        <w:ind w:firstLine="420"/>
      </w:pPr>
      <w:r>
        <w:separator/>
      </w:r>
    </w:p>
  </w:footnote>
  <w:footnote w:type="continuationSeparator" w:id="1">
    <w:p w:rsidR="00831698" w:rsidRDefault="00831698"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0CCC"/>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4116"/>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08C8"/>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169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55776"/>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4B66"/>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1246</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5</cp:revision>
  <dcterms:created xsi:type="dcterms:W3CDTF">2013-10-23T06:54:00Z</dcterms:created>
  <dcterms:modified xsi:type="dcterms:W3CDTF">2013-10-23T07:01:00Z</dcterms:modified>
</cp:coreProperties>
</file>